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101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0"/>
        <w:gridCol w:w="4170"/>
        <w:gridCol w:w="2220"/>
        <w:gridCol w:w="1875"/>
        <w:tblGridChange w:id="0">
          <w:tblGrid>
            <w:gridCol w:w="1860"/>
            <w:gridCol w:w="4170"/>
            <w:gridCol w:w="2220"/>
            <w:gridCol w:w="1875"/>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10538.08593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Monthly </w:t>
            </w:r>
            <w:r w:rsidDel="00000000" w:rsidR="00000000" w:rsidRPr="00000000">
              <w:rPr>
                <w:rFonts w:ascii="Arial" w:cs="Arial" w:eastAsia="Arial" w:hAnsi="Arial"/>
                <w:sz w:val="24"/>
                <w:szCs w:val="24"/>
                <w:highlight w:val="white"/>
                <w:rtl w:val="0"/>
              </w:rPr>
              <w:t xml:space="preserve">performance report</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provider must supply access to a live MI  system, that includes capability to export data in excel format as and when required. Typically MI would include the following minimum data expectations: </w:t>
            </w:r>
          </w:p>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Recognition Vouchers</w:t>
            </w:r>
            <w:r w:rsidDel="00000000" w:rsidR="00000000" w:rsidRPr="00000000">
              <w:rPr>
                <w:rFonts w:ascii="Arial" w:cs="Arial" w:eastAsia="Arial" w:hAnsi="Arial"/>
                <w:sz w:val="24"/>
                <w:szCs w:val="24"/>
                <w:rtl w:val="0"/>
              </w:rPr>
              <w:t xml:space="preserve"> – Reports to include Award Value, Issue Date, Nominator, Nominee, Approver, Nomination ID (including nominee name, cost centre, staff no, organisation, grade, directorate) and Reason for nomination.  Bespoke reporting capabilities with the ability to run per organisation. </w:t>
            </w:r>
          </w:p>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Retail Discounts</w:t>
            </w:r>
            <w:r w:rsidDel="00000000" w:rsidR="00000000" w:rsidRPr="00000000">
              <w:rPr>
                <w:rFonts w:ascii="Arial" w:cs="Arial" w:eastAsia="Arial" w:hAnsi="Arial"/>
                <w:sz w:val="24"/>
                <w:szCs w:val="24"/>
                <w:rtl w:val="0"/>
              </w:rPr>
              <w:t xml:space="preserve"> – Reports to include MI on uptake of discount usage per organisation, total spend, savings made and retailers used. </w:t>
            </w:r>
          </w:p>
          <w:p w:rsidR="00000000" w:rsidDel="00000000" w:rsidP="00000000" w:rsidRDefault="00000000" w:rsidRPr="00000000" w14:paraId="0000001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Technology Benefit – Reports </w:t>
            </w:r>
            <w:r w:rsidDel="00000000" w:rsidR="00000000" w:rsidRPr="00000000">
              <w:rPr>
                <w:rFonts w:ascii="Arial" w:cs="Arial" w:eastAsia="Arial" w:hAnsi="Arial"/>
                <w:sz w:val="24"/>
                <w:szCs w:val="24"/>
                <w:rtl w:val="0"/>
              </w:rPr>
              <w:t xml:space="preserve">to include MI on uptake of technology benefit per organisation. Including individual and total spend and most popular items </w:t>
            </w:r>
          </w:p>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Childcare  vouchers</w:t>
            </w:r>
          </w:p>
          <w:p w:rsidR="00000000" w:rsidDel="00000000" w:rsidP="00000000" w:rsidRDefault="00000000" w:rsidRPr="00000000" w14:paraId="0000001C">
            <w:pPr>
              <w:spacing w:after="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Monthly  report on uptake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Able to access reports on the suppliers portal. Provide an Excel document and face-to-face monthly reporting meetings with the supplier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 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tl w:val="0"/>
              </w:rPr>
            </w:r>
          </w:p>
        </w:tc>
      </w:tr>
    </w:tbl>
    <w:bookmarkStart w:colFirst="0" w:colLast="0" w:name="gjdgxs" w:id="0"/>
    <w:bookmarkEnd w:id="0"/>
    <w:p w:rsidR="00000000" w:rsidDel="00000000" w:rsidP="00000000" w:rsidRDefault="00000000" w:rsidRPr="00000000" w14:paraId="00000031">
      <w:pPr>
        <w:tabs>
          <w:tab w:val="left" w:leader="none" w:pos="1251"/>
        </w:tabs>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2">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